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18E" w:rsidRPr="0002142F" w:rsidRDefault="00C053E3">
      <w:pPr>
        <w:tabs>
          <w:tab w:val="right" w:pos="2268"/>
          <w:tab w:val="right" w:pos="4678"/>
        </w:tabs>
        <w:jc w:val="right"/>
        <w:rPr>
          <w:rFonts w:cs="Arial"/>
          <w:sz w:val="20"/>
        </w:rPr>
      </w:pPr>
      <w:r>
        <w:rPr>
          <w:rFonts w:cs="Arial"/>
          <w:sz w:val="16"/>
          <w:szCs w:val="16"/>
          <w:lang w:val="en-US"/>
        </w:rPr>
        <w:tab/>
      </w:r>
      <w:r w:rsidRPr="0002142F">
        <w:rPr>
          <w:sz w:val="20"/>
        </w:rPr>
        <w:t>Andreas Breyer</w:t>
      </w:r>
      <w:r w:rsidRPr="0002142F">
        <w:rPr>
          <w:sz w:val="20"/>
        </w:rPr>
        <w:br/>
        <w:t xml:space="preserve"> </w:t>
      </w:r>
      <w:r w:rsidRPr="0002142F">
        <w:rPr>
          <w:sz w:val="20"/>
        </w:rPr>
        <w:tab/>
      </w:r>
      <w:r w:rsidRPr="0002142F">
        <w:rPr>
          <w:sz w:val="20"/>
        </w:rPr>
        <w:tab/>
        <w:t>Manager Media Relations</w:t>
      </w:r>
      <w:r w:rsidRPr="0002142F">
        <w:rPr>
          <w:sz w:val="20"/>
        </w:rPr>
        <w:br/>
      </w:r>
      <w:r w:rsidRPr="0002142F">
        <w:rPr>
          <w:sz w:val="20"/>
        </w:rPr>
        <w:br/>
      </w:r>
      <w:r w:rsidRPr="0002142F">
        <w:rPr>
          <w:sz w:val="16"/>
          <w:szCs w:val="16"/>
        </w:rPr>
        <w:t xml:space="preserve"> </w:t>
      </w:r>
      <w:r w:rsidRPr="0002142F">
        <w:rPr>
          <w:sz w:val="16"/>
          <w:szCs w:val="16"/>
        </w:rPr>
        <w:tab/>
        <w:t>Mobile</w:t>
      </w:r>
      <w:r w:rsidRPr="0002142F">
        <w:rPr>
          <w:sz w:val="20"/>
        </w:rPr>
        <w:tab/>
        <w:t>+49 151 1242 8585</w:t>
      </w:r>
      <w:r w:rsidRPr="0002142F">
        <w:rPr>
          <w:sz w:val="20"/>
        </w:rPr>
        <w:br/>
      </w:r>
      <w:r w:rsidRPr="0002142F">
        <w:rPr>
          <w:sz w:val="16"/>
          <w:szCs w:val="16"/>
        </w:rPr>
        <w:t xml:space="preserve"> </w:t>
      </w:r>
      <w:r w:rsidRPr="0002142F">
        <w:rPr>
          <w:sz w:val="16"/>
          <w:szCs w:val="16"/>
        </w:rPr>
        <w:tab/>
        <w:t>E-Mail</w:t>
      </w:r>
      <w:r w:rsidRPr="0002142F">
        <w:rPr>
          <w:sz w:val="20"/>
        </w:rPr>
        <w:tab/>
        <w:t>press@emva.org</w:t>
      </w:r>
      <w:r w:rsidRPr="0002142F">
        <w:rPr>
          <w:sz w:val="20"/>
        </w:rPr>
        <w:br/>
      </w:r>
      <w:r w:rsidRPr="0002142F">
        <w:rPr>
          <w:rFonts w:cs="Arial"/>
          <w:sz w:val="20"/>
        </w:rPr>
        <w:tab/>
      </w:r>
    </w:p>
    <w:p w:rsidR="0018518E" w:rsidRPr="0002142F" w:rsidRDefault="00C053E3">
      <w:pPr>
        <w:tabs>
          <w:tab w:val="right" w:pos="2268"/>
          <w:tab w:val="right" w:pos="4678"/>
        </w:tabs>
        <w:jc w:val="right"/>
        <w:rPr>
          <w:rFonts w:cs="Arial"/>
          <w:sz w:val="20"/>
        </w:rPr>
      </w:pPr>
      <w:r w:rsidRPr="0002142F">
        <w:rPr>
          <w:rFonts w:cs="Arial"/>
          <w:sz w:val="20"/>
        </w:rPr>
        <w:br/>
        <w:t xml:space="preserve"> </w:t>
      </w:r>
      <w:r w:rsidRPr="0002142F">
        <w:rPr>
          <w:rFonts w:cs="Arial"/>
          <w:sz w:val="20"/>
        </w:rPr>
        <w:tab/>
      </w:r>
      <w:r w:rsidRPr="0002142F">
        <w:rPr>
          <w:rFonts w:cs="Arial"/>
          <w:sz w:val="16"/>
          <w:szCs w:val="16"/>
        </w:rPr>
        <w:t xml:space="preserve"> </w:t>
      </w:r>
      <w:r w:rsidRPr="0002142F">
        <w:rPr>
          <w:rFonts w:cs="Arial"/>
          <w:sz w:val="16"/>
          <w:szCs w:val="16"/>
        </w:rPr>
        <w:tab/>
      </w:r>
      <w:r w:rsidRPr="0002142F">
        <w:rPr>
          <w:rFonts w:cs="Arial"/>
          <w:sz w:val="20"/>
        </w:rPr>
        <w:br/>
      </w:r>
      <w:r w:rsidRPr="0002142F">
        <w:rPr>
          <w:rFonts w:cs="Arial"/>
          <w:sz w:val="16"/>
          <w:szCs w:val="16"/>
        </w:rPr>
        <w:tab/>
      </w:r>
      <w:r w:rsidRPr="0002142F">
        <w:rPr>
          <w:rFonts w:cs="Arial"/>
          <w:sz w:val="20"/>
        </w:rPr>
        <w:br/>
      </w:r>
      <w:r w:rsidRPr="0002142F">
        <w:rPr>
          <w:rFonts w:cs="Arial"/>
          <w:sz w:val="20"/>
        </w:rPr>
        <w:br/>
      </w:r>
      <w:r w:rsidRPr="0002142F">
        <w:rPr>
          <w:rFonts w:cs="Arial"/>
          <w:sz w:val="16"/>
          <w:szCs w:val="16"/>
        </w:rPr>
        <w:t xml:space="preserve"> </w:t>
      </w:r>
      <w:r w:rsidRPr="0002142F">
        <w:rPr>
          <w:rFonts w:cs="Arial"/>
          <w:sz w:val="16"/>
          <w:szCs w:val="16"/>
        </w:rPr>
        <w:tab/>
      </w:r>
      <w:r w:rsidRPr="0002142F">
        <w:rPr>
          <w:rFonts w:cs="Arial"/>
          <w:sz w:val="20"/>
        </w:rPr>
        <w:tab/>
      </w:r>
      <w:r w:rsidRPr="0002142F">
        <w:rPr>
          <w:rFonts w:cs="Arial"/>
          <w:sz w:val="20"/>
        </w:rPr>
        <w:tab/>
      </w:r>
      <w:r w:rsidRPr="0002142F">
        <w:rPr>
          <w:rFonts w:cs="Arial"/>
          <w:sz w:val="20"/>
        </w:rPr>
        <w:tab/>
      </w:r>
      <w:r w:rsidRPr="0002142F">
        <w:rPr>
          <w:rFonts w:cs="Arial"/>
          <w:sz w:val="20"/>
        </w:rPr>
        <w:tab/>
      </w:r>
      <w:r w:rsidRPr="0002142F">
        <w:rPr>
          <w:rFonts w:cs="Arial"/>
          <w:sz w:val="20"/>
        </w:rPr>
        <w:tab/>
      </w:r>
      <w:r w:rsidRPr="0002142F">
        <w:rPr>
          <w:rFonts w:cs="Arial"/>
          <w:sz w:val="20"/>
        </w:rPr>
        <w:tab/>
      </w:r>
      <w:r w:rsidRPr="0002142F">
        <w:rPr>
          <w:rFonts w:cs="Arial"/>
          <w:sz w:val="20"/>
        </w:rPr>
        <w:tab/>
      </w:r>
    </w:p>
    <w:p w:rsidR="0018518E" w:rsidRDefault="0002142F">
      <w:pPr>
        <w:tabs>
          <w:tab w:val="right" w:pos="2268"/>
          <w:tab w:val="right" w:pos="4678"/>
        </w:tabs>
        <w:jc w:val="right"/>
        <w:rPr>
          <w:rFonts w:cs="Arial"/>
          <w:sz w:val="20"/>
        </w:rPr>
      </w:pPr>
      <w:r>
        <w:rPr>
          <w:rFonts w:cs="Arial"/>
          <w:sz w:val="20"/>
        </w:rPr>
        <w:t>21</w:t>
      </w:r>
      <w:r w:rsidR="00C053E3">
        <w:rPr>
          <w:rFonts w:cs="Arial"/>
          <w:sz w:val="20"/>
        </w:rPr>
        <w:t>. Juni 2021</w:t>
      </w:r>
    </w:p>
    <w:p w:rsidR="0018518E" w:rsidRDefault="00C053E3">
      <w:pPr>
        <w:framePr w:w="4780" w:h="2353" w:hRule="exact" w:wrap="auto" w:vAnchor="page" w:hAnchor="page" w:x="1377" w:y="2713"/>
        <w:rPr>
          <w:rFonts w:cs="Arial"/>
        </w:rPr>
      </w:pPr>
      <w:r>
        <w:br/>
      </w:r>
      <w:r>
        <w:rPr>
          <w:b/>
          <w:sz w:val="28"/>
        </w:rPr>
        <w:t>PRESSEMITTEILUNG</w:t>
      </w:r>
      <w:r>
        <w:br/>
      </w:r>
      <w:r>
        <w:br/>
        <w:t>zur sofortigen Veröffentlichung</w:t>
      </w:r>
      <w:r>
        <w:rPr>
          <w:rFonts w:cs="Arial"/>
        </w:rPr>
        <w:br/>
      </w:r>
      <w:r>
        <w:rPr>
          <w:rFonts w:cs="Arial"/>
        </w:rPr>
        <w:br/>
      </w:r>
      <w:r>
        <w:rPr>
          <w:rFonts w:cs="Arial"/>
        </w:rPr>
        <w:br/>
      </w:r>
      <w:r>
        <w:rPr>
          <w:rFonts w:cs="Arial"/>
        </w:rPr>
        <w:br/>
      </w:r>
      <w:r>
        <w:rPr>
          <w:rFonts w:cs="Arial"/>
        </w:rPr>
        <w:br/>
      </w:r>
    </w:p>
    <w:p w:rsidR="0018518E" w:rsidRDefault="0018518E">
      <w:pPr>
        <w:tabs>
          <w:tab w:val="right" w:pos="2268"/>
          <w:tab w:val="right" w:pos="4678"/>
        </w:tabs>
        <w:jc w:val="right"/>
        <w:rPr>
          <w:rFonts w:cs="Arial"/>
        </w:rPr>
      </w:pPr>
    </w:p>
    <w:p w:rsidR="0018518E" w:rsidRDefault="00C053E3">
      <w:pPr>
        <w:spacing w:after="240"/>
        <w:ind w:hanging="993"/>
        <w:rPr>
          <w:rFonts w:cs="Arial"/>
        </w:rPr>
      </w:pPr>
      <w:r>
        <w:rPr>
          <w:rFonts w:cs="Arial"/>
          <w:sz w:val="12"/>
          <w:szCs w:val="12"/>
        </w:rPr>
        <w:t>_</w:t>
      </w:r>
    </w:p>
    <w:p w:rsidR="0018518E" w:rsidRDefault="0018518E">
      <w:pPr>
        <w:sectPr w:rsidR="0018518E">
          <w:headerReference w:type="default" r:id="rId9"/>
          <w:headerReference w:type="first" r:id="rId10"/>
          <w:footerReference w:type="first" r:id="rId11"/>
          <w:pgSz w:w="11906" w:h="16838"/>
          <w:pgMar w:top="2977" w:right="707" w:bottom="1985" w:left="1418" w:header="1230" w:footer="188" w:gutter="0"/>
          <w:cols w:space="720"/>
          <w:formProt w:val="0"/>
          <w:titlePg/>
          <w:docGrid w:linePitch="600" w:charSpace="36864"/>
        </w:sectPr>
      </w:pPr>
    </w:p>
    <w:p w:rsidR="0018518E" w:rsidRDefault="00C053E3">
      <w:pPr>
        <w:spacing w:after="200" w:line="360" w:lineRule="auto"/>
        <w:jc w:val="center"/>
        <w:rPr>
          <w:rFonts w:eastAsia="Arial" w:cs="Arial"/>
          <w:b/>
          <w:sz w:val="32"/>
          <w:szCs w:val="32"/>
          <w:highlight w:val="yellow"/>
          <w:lang w:bidi="ar-SA"/>
        </w:rPr>
      </w:pPr>
      <w:r>
        <w:rPr>
          <w:rFonts w:eastAsia="Arial" w:cs="Arial"/>
          <w:b/>
          <w:sz w:val="32"/>
          <w:szCs w:val="32"/>
          <w:lang w:bidi="ar-SA"/>
        </w:rPr>
        <w:lastRenderedPageBreak/>
        <w:t>Neue</w:t>
      </w:r>
      <w:r w:rsidR="002353BB">
        <w:rPr>
          <w:rFonts w:eastAsia="Arial" w:cs="Arial"/>
          <w:b/>
          <w:sz w:val="32"/>
          <w:szCs w:val="32"/>
          <w:lang w:bidi="ar-SA"/>
        </w:rPr>
        <w:t>s</w:t>
      </w:r>
      <w:r>
        <w:rPr>
          <w:rFonts w:eastAsia="Arial" w:cs="Arial"/>
          <w:b/>
          <w:sz w:val="32"/>
          <w:szCs w:val="32"/>
          <w:lang w:bidi="ar-SA"/>
        </w:rPr>
        <w:t xml:space="preserve"> Release 4.0 des EMVA 1288 Standard zur Kameracharakterisierung </w:t>
      </w:r>
      <w:r w:rsidR="002353BB">
        <w:rPr>
          <w:rFonts w:eastAsia="Arial" w:cs="Arial"/>
          <w:b/>
          <w:sz w:val="32"/>
          <w:szCs w:val="32"/>
          <w:lang w:bidi="ar-SA"/>
        </w:rPr>
        <w:t xml:space="preserve">ist </w:t>
      </w:r>
      <w:r>
        <w:rPr>
          <w:rFonts w:eastAsia="Arial" w:cs="Arial"/>
          <w:b/>
          <w:sz w:val="32"/>
          <w:szCs w:val="32"/>
          <w:lang w:bidi="ar-SA"/>
        </w:rPr>
        <w:t>in Kraft</w:t>
      </w:r>
    </w:p>
    <w:p w:rsidR="009E571F" w:rsidRDefault="00C053E3">
      <w:pPr>
        <w:spacing w:line="360" w:lineRule="auto"/>
        <w:jc w:val="both"/>
        <w:rPr>
          <w:rFonts w:cs="Arial"/>
          <w:sz w:val="24"/>
          <w:szCs w:val="24"/>
          <w:lang w:bidi="ar-SA"/>
        </w:rPr>
      </w:pPr>
      <w:r>
        <w:rPr>
          <w:rFonts w:cs="Arial"/>
          <w:i/>
          <w:sz w:val="24"/>
          <w:szCs w:val="24"/>
          <w:lang w:bidi="ar-SA"/>
        </w:rPr>
        <w:t xml:space="preserve">Barcelona, </w:t>
      </w:r>
      <w:r w:rsidR="0002142F">
        <w:rPr>
          <w:rFonts w:cs="Arial"/>
          <w:i/>
          <w:sz w:val="24"/>
          <w:szCs w:val="24"/>
          <w:lang w:bidi="ar-SA"/>
        </w:rPr>
        <w:t>21</w:t>
      </w:r>
      <w:r>
        <w:rPr>
          <w:rFonts w:cs="Arial"/>
          <w:i/>
          <w:sz w:val="24"/>
          <w:szCs w:val="24"/>
          <w:lang w:bidi="ar-SA"/>
        </w:rPr>
        <w:t>. Juni 2021</w:t>
      </w:r>
      <w:r>
        <w:rPr>
          <w:rFonts w:cs="Arial"/>
          <w:sz w:val="24"/>
          <w:szCs w:val="24"/>
          <w:lang w:bidi="ar-SA"/>
        </w:rPr>
        <w:t xml:space="preserve">. </w:t>
      </w:r>
      <w:r w:rsidR="002353BB">
        <w:rPr>
          <w:rFonts w:cs="Arial"/>
          <w:sz w:val="24"/>
          <w:szCs w:val="24"/>
          <w:lang w:bidi="ar-SA"/>
        </w:rPr>
        <w:t xml:space="preserve">Das </w:t>
      </w:r>
      <w:r>
        <w:rPr>
          <w:rFonts w:cs="Arial"/>
          <w:sz w:val="24"/>
          <w:szCs w:val="24"/>
          <w:lang w:bidi="ar-SA"/>
        </w:rPr>
        <w:t xml:space="preserve">Release 4.0 des weltweit erfolgreich genutzten EMVA Standard 1288 zur objektiven Charakterisierung von industriellen Kameras </w:t>
      </w:r>
      <w:r w:rsidR="0002142F">
        <w:rPr>
          <w:rFonts w:cs="Arial"/>
          <w:sz w:val="24"/>
          <w:szCs w:val="24"/>
          <w:lang w:bidi="ar-SA"/>
        </w:rPr>
        <w:t>ist</w:t>
      </w:r>
      <w:r>
        <w:rPr>
          <w:rFonts w:cs="Arial"/>
          <w:sz w:val="24"/>
          <w:szCs w:val="24"/>
          <w:lang w:bidi="ar-SA"/>
        </w:rPr>
        <w:t xml:space="preserve"> in Kraft. E</w:t>
      </w:r>
      <w:r w:rsidR="002353BB">
        <w:rPr>
          <w:rFonts w:cs="Arial"/>
          <w:sz w:val="24"/>
          <w:szCs w:val="24"/>
          <w:lang w:bidi="ar-SA"/>
        </w:rPr>
        <w:t>s</w:t>
      </w:r>
      <w:r>
        <w:rPr>
          <w:rFonts w:cs="Arial"/>
          <w:sz w:val="24"/>
          <w:szCs w:val="24"/>
          <w:lang w:bidi="ar-SA"/>
        </w:rPr>
        <w:t xml:space="preserve"> trägt der rasanten Entwicklung der Kamera- und Bildsensortechnologie Rechnung. Die Dokumente des neuen Release 4.0 wurden </w:t>
      </w:r>
      <w:hyperlink r:id="rId12">
        <w:r>
          <w:rPr>
            <w:rStyle w:val="Internetverknpfung"/>
            <w:rFonts w:cs="Arial"/>
            <w:sz w:val="24"/>
            <w:szCs w:val="24"/>
            <w:lang w:bidi="ar-SA"/>
          </w:rPr>
          <w:t>hier</w:t>
        </w:r>
      </w:hyperlink>
      <w:r>
        <w:rPr>
          <w:rFonts w:cs="Arial"/>
          <w:sz w:val="24"/>
          <w:szCs w:val="24"/>
          <w:lang w:bidi="ar-SA"/>
        </w:rPr>
        <w:t xml:space="preserve"> publiziert. </w:t>
      </w:r>
      <w:r w:rsidR="009E571F">
        <w:rPr>
          <w:rFonts w:cs="Arial"/>
          <w:sz w:val="24"/>
          <w:szCs w:val="24"/>
          <w:lang w:bidi="ar-SA"/>
        </w:rPr>
        <w:t xml:space="preserve">Der von der EMVA gehostete </w:t>
      </w:r>
      <w:r w:rsidR="009E571F" w:rsidRPr="009E571F">
        <w:rPr>
          <w:rFonts w:cs="Arial"/>
          <w:sz w:val="24"/>
          <w:szCs w:val="24"/>
          <w:lang w:bidi="ar-SA"/>
        </w:rPr>
        <w:t>EMVA 1288</w:t>
      </w:r>
      <w:r w:rsidR="009E571F">
        <w:rPr>
          <w:rFonts w:cs="Arial"/>
          <w:sz w:val="24"/>
          <w:szCs w:val="24"/>
          <w:lang w:bidi="ar-SA"/>
        </w:rPr>
        <w:t xml:space="preserve"> </w:t>
      </w:r>
      <w:r w:rsidR="009E571F" w:rsidRPr="009E571F">
        <w:rPr>
          <w:rFonts w:cs="Arial"/>
          <w:sz w:val="24"/>
          <w:szCs w:val="24"/>
          <w:lang w:bidi="ar-SA"/>
        </w:rPr>
        <w:t>Standard</w:t>
      </w:r>
      <w:r w:rsidR="009E571F">
        <w:rPr>
          <w:rFonts w:cs="Arial"/>
          <w:sz w:val="24"/>
          <w:szCs w:val="24"/>
          <w:lang w:bidi="ar-SA"/>
        </w:rPr>
        <w:t xml:space="preserve"> ist Teil der globalen Standardisierungsinitiative G3, in der die fünf führenden Bildverarbeitungsorganisationen A3, </w:t>
      </w:r>
      <w:r w:rsidR="009E571F">
        <w:rPr>
          <w:rFonts w:cs="Arial"/>
          <w:sz w:val="24"/>
          <w:szCs w:val="24"/>
          <w:lang w:bidi="ar-SA"/>
        </w:rPr>
        <w:t>CMVU</w:t>
      </w:r>
      <w:r w:rsidR="009E571F">
        <w:rPr>
          <w:rFonts w:cs="Arial"/>
          <w:sz w:val="24"/>
          <w:szCs w:val="24"/>
          <w:lang w:bidi="ar-SA"/>
        </w:rPr>
        <w:t xml:space="preserve">, EMVA, JIIA, und VDMA  zusammenarbeiten. </w:t>
      </w:r>
    </w:p>
    <w:p w:rsidR="0018518E" w:rsidRDefault="0018518E">
      <w:pPr>
        <w:spacing w:line="360" w:lineRule="auto"/>
        <w:jc w:val="both"/>
        <w:rPr>
          <w:rFonts w:cs="Arial"/>
          <w:sz w:val="24"/>
          <w:szCs w:val="24"/>
          <w:lang w:bidi="ar-SA"/>
        </w:rPr>
      </w:pPr>
    </w:p>
    <w:p w:rsidR="0018518E" w:rsidRDefault="00C053E3">
      <w:pPr>
        <w:spacing w:line="360" w:lineRule="auto"/>
        <w:jc w:val="both"/>
        <w:rPr>
          <w:rFonts w:cs="Arial"/>
          <w:sz w:val="24"/>
          <w:szCs w:val="24"/>
          <w:lang w:bidi="ar-SA"/>
        </w:rPr>
      </w:pPr>
      <w:r>
        <w:rPr>
          <w:rFonts w:cs="Arial"/>
          <w:sz w:val="24"/>
          <w:szCs w:val="24"/>
          <w:lang w:bidi="ar-SA"/>
        </w:rPr>
        <w:t xml:space="preserve">Bis zum Release 3.1 vom Dezember 2016 war die Anwendung des EMVA Standards 1288 mit einem einfachen linearen Modell auf Kameras mit einer linearen Kennlinie und ohne Vorverarbeitung, die das zeitliche Rauschen modifiziert, beschränkt. Dieses Modell wird auch im „Release 4.0 Linear“ mit einigen Verbesserungen fortgeführt. Neu hinzu kommt jetzt das Modul „Release 4.0 General“. Mit ihm ist die Charakterisierung einer nichtlinearen Kamera oder einer Kamera mit unbekannter Vorverarbeitung aufgrund des universellen systemtheoretischen Ansatzes des EMVA Standards 1288 auch ohne jegliches Modell möglich. Genau wie beim linearen Kameramodell kann man auf diese Weise alle anwendungsbezogenen Qualitätsparameter messen. Für beide Module „Linear“ und </w:t>
      </w:r>
      <w:r>
        <w:rPr>
          <w:rFonts w:cs="Arial"/>
          <w:sz w:val="24"/>
          <w:szCs w:val="24"/>
          <w:lang w:bidi="ar-SA"/>
        </w:rPr>
        <w:lastRenderedPageBreak/>
        <w:t>„General“ werden die gleichen Messungen durchgeführt. Abhängig von den Eigenschaften der Kamera kann dann die Auswertung nach dem linearen oder generellen Modell erfolgen.</w:t>
      </w:r>
    </w:p>
    <w:p w:rsidR="0018518E" w:rsidRDefault="00C053E3">
      <w:pPr>
        <w:spacing w:line="360" w:lineRule="auto"/>
        <w:jc w:val="both"/>
        <w:rPr>
          <w:rFonts w:cs="Arial"/>
          <w:sz w:val="24"/>
          <w:szCs w:val="24"/>
          <w:lang w:bidi="ar-SA"/>
        </w:rPr>
      </w:pPr>
      <w:r>
        <w:rPr>
          <w:rFonts w:cs="Arial"/>
          <w:sz w:val="24"/>
          <w:szCs w:val="24"/>
          <w:lang w:bidi="ar-SA"/>
        </w:rPr>
        <w:t xml:space="preserve"> </w:t>
      </w:r>
    </w:p>
    <w:p w:rsidR="0018518E" w:rsidRDefault="00C053E3">
      <w:pPr>
        <w:spacing w:line="360" w:lineRule="auto"/>
        <w:jc w:val="both"/>
        <w:rPr>
          <w:rFonts w:cs="Arial"/>
          <w:sz w:val="24"/>
          <w:szCs w:val="24"/>
          <w:lang w:bidi="ar-SA"/>
        </w:rPr>
      </w:pPr>
      <w:r>
        <w:rPr>
          <w:rFonts w:cs="Arial"/>
          <w:sz w:val="24"/>
          <w:szCs w:val="24"/>
          <w:lang w:bidi="ar-SA"/>
        </w:rPr>
        <w:t>Zusätzlich umfasst das Release 4.0 zahlreiche Erweiterungen, um moderne Bildsensoren und Kameras applikationsgerecht charakterisieren zu können. Die wichtigsten davon sind:</w:t>
      </w:r>
    </w:p>
    <w:p w:rsidR="0018518E" w:rsidRDefault="0018518E">
      <w:pPr>
        <w:spacing w:line="360" w:lineRule="auto"/>
        <w:jc w:val="both"/>
        <w:rPr>
          <w:rFonts w:cs="Arial"/>
          <w:sz w:val="24"/>
          <w:szCs w:val="24"/>
          <w:lang w:bidi="ar-SA"/>
        </w:rPr>
      </w:pPr>
    </w:p>
    <w:p w:rsidR="0018518E" w:rsidRDefault="00C053E3">
      <w:pPr>
        <w:pStyle w:val="Listenabsatz"/>
        <w:numPr>
          <w:ilvl w:val="0"/>
          <w:numId w:val="1"/>
        </w:numPr>
        <w:spacing w:line="360" w:lineRule="auto"/>
        <w:jc w:val="both"/>
        <w:rPr>
          <w:rFonts w:cs="Arial"/>
          <w:sz w:val="24"/>
          <w:szCs w:val="24"/>
          <w:lang w:bidi="ar-SA"/>
        </w:rPr>
      </w:pPr>
      <w:r>
        <w:rPr>
          <w:rFonts w:cs="Arial"/>
          <w:sz w:val="24"/>
          <w:szCs w:val="24"/>
          <w:lang w:bidi="ar-SA"/>
        </w:rPr>
        <w:t>Erweiterter Wellenlängenbereich vom UV bis in den SWIR-Bereich</w:t>
      </w:r>
    </w:p>
    <w:p w:rsidR="0018518E" w:rsidRDefault="00C053E3">
      <w:pPr>
        <w:pStyle w:val="Listenabsatz"/>
        <w:numPr>
          <w:ilvl w:val="0"/>
          <w:numId w:val="1"/>
        </w:numPr>
        <w:spacing w:line="360" w:lineRule="auto"/>
        <w:jc w:val="both"/>
        <w:rPr>
          <w:rFonts w:cs="Arial"/>
          <w:sz w:val="24"/>
          <w:szCs w:val="24"/>
          <w:lang w:bidi="ar-SA"/>
        </w:rPr>
      </w:pPr>
      <w:r>
        <w:rPr>
          <w:rFonts w:cs="Arial"/>
          <w:sz w:val="24"/>
          <w:szCs w:val="24"/>
          <w:lang w:bidi="ar-SA"/>
        </w:rPr>
        <w:t>Rohdaten beliebiger Bildaufnahmemodalitäten können nach dem Standard charakterisiert werden.</w:t>
      </w:r>
    </w:p>
    <w:p w:rsidR="0018518E" w:rsidRDefault="00C053E3">
      <w:pPr>
        <w:pStyle w:val="Listenabsatz"/>
        <w:numPr>
          <w:ilvl w:val="0"/>
          <w:numId w:val="1"/>
        </w:numPr>
        <w:spacing w:line="360" w:lineRule="auto"/>
        <w:jc w:val="both"/>
        <w:rPr>
          <w:rFonts w:cs="Arial"/>
          <w:sz w:val="24"/>
          <w:szCs w:val="24"/>
          <w:lang w:bidi="ar-SA"/>
        </w:rPr>
      </w:pPr>
      <w:r>
        <w:rPr>
          <w:rFonts w:cs="Arial"/>
          <w:sz w:val="24"/>
          <w:szCs w:val="24"/>
          <w:lang w:bidi="ar-SA"/>
        </w:rPr>
        <w:t xml:space="preserve">Die </w:t>
      </w:r>
      <w:r w:rsidRPr="009E571F">
        <w:rPr>
          <w:rFonts w:cs="Arial"/>
          <w:sz w:val="24"/>
          <w:szCs w:val="24"/>
          <w:lang w:bidi="ar-SA"/>
        </w:rPr>
        <w:t>vielfältigen</w:t>
      </w:r>
      <w:r>
        <w:rPr>
          <w:rFonts w:cs="Arial"/>
          <w:sz w:val="24"/>
          <w:szCs w:val="24"/>
          <w:lang w:bidi="ar-SA"/>
        </w:rPr>
        <w:t xml:space="preserve"> und universellen Analysetools des EMVA 1288 Standards können auch auf Größen angewendet werden, die aus mehreren Kanälen berechnet und abgeleitet wurden. Bei Polarisationsbildsensoren sind das zum Beispiel der Polarisationsgrad und der Polarisationswinkel.</w:t>
      </w:r>
    </w:p>
    <w:p w:rsidR="0018518E" w:rsidRDefault="00C053E3">
      <w:pPr>
        <w:pStyle w:val="Listenabsatz"/>
        <w:numPr>
          <w:ilvl w:val="0"/>
          <w:numId w:val="1"/>
        </w:numPr>
        <w:spacing w:line="360" w:lineRule="auto"/>
        <w:jc w:val="both"/>
        <w:rPr>
          <w:rFonts w:cs="Arial"/>
          <w:sz w:val="24"/>
          <w:szCs w:val="24"/>
          <w:lang w:bidi="ar-SA"/>
        </w:rPr>
      </w:pPr>
      <w:proofErr w:type="spellStart"/>
      <w:r>
        <w:rPr>
          <w:rFonts w:cs="Arial"/>
          <w:sz w:val="24"/>
          <w:szCs w:val="24"/>
          <w:lang w:bidi="ar-SA"/>
        </w:rPr>
        <w:t>Inhomogenitäten</w:t>
      </w:r>
      <w:proofErr w:type="spellEnd"/>
      <w:r>
        <w:rPr>
          <w:rFonts w:cs="Arial"/>
          <w:sz w:val="24"/>
          <w:szCs w:val="24"/>
          <w:lang w:bidi="ar-SA"/>
        </w:rPr>
        <w:t xml:space="preserve"> werden detailliert vermessen und nun in Spalten-, Zeilen-, und Pixelvariationen zerlegt. Sie können jetzt mit einer neuen Methode bei allen Intensitätsstufen aus nur zwei aufgenommenen Bildern bestimmt werden.</w:t>
      </w:r>
    </w:p>
    <w:p w:rsidR="0018518E" w:rsidRDefault="00C053E3">
      <w:pPr>
        <w:pStyle w:val="Listenabsatz"/>
        <w:numPr>
          <w:ilvl w:val="0"/>
          <w:numId w:val="1"/>
        </w:numPr>
        <w:spacing w:line="360" w:lineRule="auto"/>
        <w:jc w:val="both"/>
        <w:rPr>
          <w:rFonts w:cs="Arial"/>
          <w:sz w:val="24"/>
          <w:szCs w:val="24"/>
          <w:lang w:bidi="ar-SA"/>
        </w:rPr>
      </w:pPr>
      <w:r>
        <w:rPr>
          <w:rFonts w:cs="Arial"/>
          <w:sz w:val="24"/>
          <w:szCs w:val="24"/>
          <w:lang w:bidi="ar-SA"/>
        </w:rPr>
        <w:t>Optional können Kameras mit Optiken oder mit einer Beleuchtung, wie diese durch die Position der Austrittspupille der Optik, für die der Bildsensor konstruiert wurde, gegeben ist, nach Standard vermessen werden. Damit ist der Standard nun auch für Bildsensoren mit zum Rand hin verschobenen Pixeln geeignet.</w:t>
      </w:r>
    </w:p>
    <w:p w:rsidR="0018518E" w:rsidRDefault="00C053E3">
      <w:pPr>
        <w:pStyle w:val="Listenabsatz"/>
        <w:numPr>
          <w:ilvl w:val="0"/>
          <w:numId w:val="1"/>
        </w:numPr>
        <w:spacing w:line="360" w:lineRule="auto"/>
        <w:jc w:val="both"/>
        <w:rPr>
          <w:rFonts w:cs="Arial"/>
          <w:sz w:val="24"/>
          <w:szCs w:val="24"/>
          <w:lang w:bidi="ar-SA"/>
        </w:rPr>
      </w:pPr>
      <w:r>
        <w:rPr>
          <w:rFonts w:cs="Arial"/>
          <w:sz w:val="24"/>
          <w:szCs w:val="24"/>
          <w:lang w:bidi="ar-SA"/>
        </w:rPr>
        <w:t>Für die Linearität der Kennlinie wird ein besser geeignetes Maß eingeführt.</w:t>
      </w:r>
    </w:p>
    <w:p w:rsidR="0018518E" w:rsidRDefault="0018518E">
      <w:pPr>
        <w:spacing w:line="360" w:lineRule="auto"/>
        <w:jc w:val="both"/>
        <w:rPr>
          <w:rFonts w:cs="Arial"/>
          <w:sz w:val="24"/>
          <w:szCs w:val="24"/>
          <w:lang w:bidi="ar-SA"/>
        </w:rPr>
      </w:pPr>
    </w:p>
    <w:p w:rsidR="0018518E" w:rsidRDefault="00C053E3">
      <w:pPr>
        <w:spacing w:line="360" w:lineRule="auto"/>
        <w:jc w:val="both"/>
        <w:rPr>
          <w:rFonts w:cs="Arial"/>
          <w:sz w:val="24"/>
          <w:szCs w:val="24"/>
          <w:highlight w:val="yellow"/>
          <w:lang w:bidi="ar-SA"/>
        </w:rPr>
      </w:pPr>
      <w:r>
        <w:rPr>
          <w:rFonts w:cs="Arial"/>
          <w:sz w:val="24"/>
          <w:szCs w:val="24"/>
          <w:lang w:bidi="ar-SA"/>
        </w:rPr>
        <w:t xml:space="preserve">Einhergehend mit der neuen Version des Standards hat die EMVA ein umfangreiches Schulungsprogramm vorbereitet. Zwei- oder dreitägige Seminare für das neue Release 4.0 werden zukünftig regelmäßig in Zusammenarbeit mit EMVA-Mitgliedsfirmen angeboten. Mit den überarbeiteten Schulungsinhalten wird auch die erfolgreich eingeführte Zertifizierung </w:t>
      </w:r>
      <w:r>
        <w:rPr>
          <w:rFonts w:cs="Arial"/>
          <w:sz w:val="24"/>
          <w:szCs w:val="24"/>
          <w:lang w:bidi="ar-SA"/>
        </w:rPr>
        <w:lastRenderedPageBreak/>
        <w:t xml:space="preserve">auf Expertenebene fortgeführt. Diese richtet sich an all diejenigen, die sich die notwendigen Erkenntnisse aneignen wollen, um selbst EMVA 1288 Messungen durchzuführen und die Messergebnisse im Detail zu verstehen, sei es in der Entwicklung neuer Kameras, in der Qualitätskontrolle, oder um das Verhalten einer Kamera für eine spezifische Anwendung genau zu verstehen. </w:t>
      </w:r>
    </w:p>
    <w:p w:rsidR="0018518E" w:rsidRDefault="0018518E">
      <w:pPr>
        <w:spacing w:line="360" w:lineRule="auto"/>
        <w:jc w:val="both"/>
        <w:rPr>
          <w:rFonts w:cs="Arial"/>
          <w:sz w:val="24"/>
          <w:szCs w:val="24"/>
          <w:highlight w:val="yellow"/>
          <w:lang w:bidi="ar-SA"/>
        </w:rPr>
      </w:pPr>
    </w:p>
    <w:p w:rsidR="0018518E" w:rsidRDefault="0018518E">
      <w:pPr>
        <w:spacing w:line="360" w:lineRule="auto"/>
        <w:jc w:val="both"/>
        <w:rPr>
          <w:rFonts w:cs="Arial"/>
          <w:sz w:val="24"/>
          <w:szCs w:val="24"/>
          <w:highlight w:val="yellow"/>
          <w:lang w:bidi="ar-SA"/>
        </w:rPr>
      </w:pPr>
    </w:p>
    <w:p w:rsidR="002353BB" w:rsidRDefault="002353BB">
      <w:pPr>
        <w:spacing w:line="360" w:lineRule="auto"/>
        <w:jc w:val="both"/>
        <w:rPr>
          <w:rFonts w:cs="Arial"/>
          <w:sz w:val="24"/>
          <w:szCs w:val="24"/>
          <w:highlight w:val="yellow"/>
          <w:lang w:bidi="ar-SA"/>
        </w:rPr>
      </w:pPr>
    </w:p>
    <w:p w:rsidR="002353BB" w:rsidRDefault="002353BB">
      <w:pPr>
        <w:spacing w:line="360" w:lineRule="auto"/>
        <w:jc w:val="both"/>
        <w:rPr>
          <w:rFonts w:cs="Arial"/>
          <w:sz w:val="24"/>
          <w:szCs w:val="24"/>
          <w:highlight w:val="yellow"/>
          <w:lang w:bidi="ar-SA"/>
        </w:rPr>
      </w:pPr>
      <w:bookmarkStart w:id="0" w:name="_GoBack"/>
      <w:bookmarkEnd w:id="0"/>
    </w:p>
    <w:p w:rsidR="0018518E" w:rsidRDefault="0018518E">
      <w:pPr>
        <w:spacing w:line="360" w:lineRule="auto"/>
        <w:jc w:val="both"/>
        <w:rPr>
          <w:rFonts w:cs="Arial"/>
          <w:sz w:val="24"/>
          <w:szCs w:val="24"/>
          <w:highlight w:val="yellow"/>
          <w:lang w:bidi="ar-SA"/>
        </w:rPr>
      </w:pPr>
    </w:p>
    <w:p w:rsidR="0018518E" w:rsidRDefault="00C053E3">
      <w:pPr>
        <w:shd w:val="clear" w:color="auto" w:fill="FFFFFF"/>
        <w:spacing w:line="276" w:lineRule="auto"/>
        <w:jc w:val="both"/>
        <w:rPr>
          <w:rFonts w:eastAsia="Arial" w:cs="Arial"/>
          <w:b/>
          <w:sz w:val="20"/>
          <w:szCs w:val="20"/>
          <w:lang w:bidi="ar-SA"/>
        </w:rPr>
      </w:pPr>
      <w:r>
        <w:rPr>
          <w:rFonts w:eastAsia="Arial" w:cs="Arial"/>
          <w:b/>
          <w:sz w:val="20"/>
          <w:szCs w:val="20"/>
          <w:lang w:bidi="ar-SA"/>
        </w:rPr>
        <w:t>Über die EMVA</w:t>
      </w:r>
    </w:p>
    <w:p w:rsidR="0018518E" w:rsidRDefault="0018518E">
      <w:pPr>
        <w:shd w:val="clear" w:color="auto" w:fill="FFFFFF"/>
        <w:spacing w:line="276" w:lineRule="auto"/>
        <w:jc w:val="both"/>
        <w:rPr>
          <w:rFonts w:eastAsia="Arial" w:cs="Arial"/>
          <w:sz w:val="20"/>
          <w:szCs w:val="20"/>
          <w:lang w:bidi="ar-SA"/>
        </w:rPr>
      </w:pPr>
    </w:p>
    <w:p w:rsidR="0018518E" w:rsidRDefault="00C053E3">
      <w:pPr>
        <w:shd w:val="clear" w:color="auto" w:fill="FFFFFF"/>
        <w:spacing w:line="276" w:lineRule="auto"/>
        <w:jc w:val="both"/>
        <w:rPr>
          <w:rFonts w:eastAsia="Arial" w:cs="Arial"/>
          <w:b/>
          <w:sz w:val="20"/>
          <w:szCs w:val="20"/>
          <w:lang w:bidi="ar-SA"/>
        </w:rPr>
      </w:pPr>
      <w:r>
        <w:rPr>
          <w:rFonts w:eastAsia="Arial" w:cs="Arial"/>
          <w:sz w:val="20"/>
          <w:szCs w:val="20"/>
          <w:lang w:bidi="ar-SA"/>
        </w:rPr>
        <w:t xml:space="preserve">Die European Machine Vision </w:t>
      </w:r>
      <w:proofErr w:type="spellStart"/>
      <w:r>
        <w:rPr>
          <w:rFonts w:eastAsia="Arial" w:cs="Arial"/>
          <w:sz w:val="20"/>
          <w:szCs w:val="20"/>
          <w:lang w:bidi="ar-SA"/>
        </w:rPr>
        <w:t>Association</w:t>
      </w:r>
      <w:proofErr w:type="spellEnd"/>
      <w:r>
        <w:rPr>
          <w:rFonts w:eastAsia="Arial" w:cs="Arial"/>
          <w:sz w:val="20"/>
          <w:szCs w:val="20"/>
          <w:lang w:bidi="ar-SA"/>
        </w:rPr>
        <w:t xml:space="preserve"> (EMVA) ist ein gemeinnütziger und nicht-kommerzieller Verband, der die Bildverarbeitungsindustrie in Europa vertritt. Gegründet im Jahr 2003 um die Entwicklung und den Einsatz von Bildverarbeitungstechnologie in allen Bereichen zu fördern, vertritt die EMVA Mitglieder aus Europa, Nordamerika und Asien. Die EMVA ist offen für alle Arten von Organisationen, die sich mit den Bereichen Machine Vision, Computer Vision, Embedded Vision oder Bildgebungstechnologie befassen: Hersteller, System- und Maschinenbauer, Integratoren, Distributoren, Beratungsunternehmen, Forschungseinrichtungen und Hochschulen. Alle Mitglieder - als hundertprozentige Eigentümer des Verbandes - profitieren von der Vernetzung, Kooperation, Standardisierung und den zahlreichen und vielfältigen Verbandsaktivitäten. Die EMVA </w:t>
      </w:r>
      <w:proofErr w:type="spellStart"/>
      <w:r>
        <w:rPr>
          <w:rFonts w:eastAsia="Arial" w:cs="Arial"/>
          <w:sz w:val="20"/>
          <w:szCs w:val="20"/>
          <w:lang w:bidi="ar-SA"/>
        </w:rPr>
        <w:t>hosted</w:t>
      </w:r>
      <w:proofErr w:type="spellEnd"/>
      <w:r>
        <w:rPr>
          <w:rFonts w:eastAsia="Arial" w:cs="Arial"/>
          <w:sz w:val="20"/>
          <w:szCs w:val="20"/>
          <w:lang w:bidi="ar-SA"/>
        </w:rPr>
        <w:t xml:space="preserve"> vier globale Bildverarbeitungsstandards: Die beiden weit verbreiteten Standards </w:t>
      </w:r>
      <w:proofErr w:type="spellStart"/>
      <w:r>
        <w:rPr>
          <w:rFonts w:eastAsia="Arial" w:cs="Arial"/>
          <w:sz w:val="20"/>
          <w:szCs w:val="20"/>
          <w:lang w:bidi="ar-SA"/>
        </w:rPr>
        <w:t>GenICam</w:t>
      </w:r>
      <w:proofErr w:type="spellEnd"/>
      <w:r>
        <w:rPr>
          <w:rFonts w:eastAsia="Arial" w:cs="Arial"/>
          <w:sz w:val="20"/>
          <w:szCs w:val="20"/>
          <w:lang w:bidi="ar-SA"/>
        </w:rPr>
        <w:t xml:space="preserve"> und EMVA 1288 sowie die beiden Standardisierungsinitiativen Open </w:t>
      </w:r>
      <w:proofErr w:type="spellStart"/>
      <w:r>
        <w:rPr>
          <w:rFonts w:eastAsia="Arial" w:cs="Arial"/>
          <w:sz w:val="20"/>
          <w:szCs w:val="20"/>
          <w:lang w:bidi="ar-SA"/>
        </w:rPr>
        <w:t>Optics</w:t>
      </w:r>
      <w:proofErr w:type="spellEnd"/>
      <w:r>
        <w:rPr>
          <w:rFonts w:eastAsia="Arial" w:cs="Arial"/>
          <w:sz w:val="20"/>
          <w:szCs w:val="20"/>
          <w:lang w:bidi="ar-SA"/>
        </w:rPr>
        <w:t xml:space="preserve"> </w:t>
      </w:r>
      <w:proofErr w:type="spellStart"/>
      <w:r>
        <w:rPr>
          <w:rFonts w:eastAsia="Arial" w:cs="Arial"/>
          <w:sz w:val="20"/>
          <w:szCs w:val="20"/>
          <w:lang w:bidi="ar-SA"/>
        </w:rPr>
        <w:t>Camera</w:t>
      </w:r>
      <w:proofErr w:type="spellEnd"/>
      <w:r>
        <w:rPr>
          <w:rFonts w:eastAsia="Arial" w:cs="Arial"/>
          <w:sz w:val="20"/>
          <w:szCs w:val="20"/>
          <w:lang w:bidi="ar-SA"/>
        </w:rPr>
        <w:t xml:space="preserve"> Interface (OOCI) und Embedded Vision Interface Standard (</w:t>
      </w:r>
      <w:proofErr w:type="spellStart"/>
      <w:r>
        <w:rPr>
          <w:rFonts w:eastAsia="Arial" w:cs="Arial"/>
          <w:sz w:val="20"/>
          <w:szCs w:val="20"/>
          <w:lang w:bidi="ar-SA"/>
        </w:rPr>
        <w:t>emVision</w:t>
      </w:r>
      <w:proofErr w:type="spellEnd"/>
      <w:r>
        <w:rPr>
          <w:rFonts w:eastAsia="Arial" w:cs="Arial"/>
          <w:sz w:val="20"/>
          <w:szCs w:val="20"/>
          <w:lang w:bidi="ar-SA"/>
        </w:rPr>
        <w:t>).</w:t>
      </w:r>
    </w:p>
    <w:p w:rsidR="0018518E" w:rsidRDefault="00CE0176">
      <w:pPr>
        <w:shd w:val="clear" w:color="auto" w:fill="FFFFFF"/>
        <w:spacing w:after="240" w:line="276" w:lineRule="auto"/>
        <w:jc w:val="both"/>
        <w:rPr>
          <w:rFonts w:eastAsia="Arial" w:cs="Arial"/>
          <w:b/>
          <w:sz w:val="20"/>
          <w:szCs w:val="20"/>
          <w:lang w:val="en" w:bidi="ar-SA"/>
        </w:rPr>
      </w:pPr>
      <w:hyperlink r:id="rId13">
        <w:r w:rsidR="00C053E3">
          <w:rPr>
            <w:rFonts w:eastAsia="Arial" w:cs="Arial"/>
            <w:sz w:val="20"/>
            <w:szCs w:val="20"/>
            <w:lang w:val="en" w:bidi="ar-SA"/>
          </w:rPr>
          <w:t>www.emva.org</w:t>
        </w:r>
      </w:hyperlink>
    </w:p>
    <w:sectPr w:rsidR="0018518E">
      <w:type w:val="continuous"/>
      <w:pgSz w:w="11906" w:h="16838"/>
      <w:pgMar w:top="2977" w:right="707" w:bottom="1985" w:left="1418" w:header="1230" w:footer="188" w:gutter="0"/>
      <w:cols w:space="720"/>
      <w:formProt w:val="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0176" w:rsidRDefault="00CE0176">
      <w:r>
        <w:separator/>
      </w:r>
    </w:p>
  </w:endnote>
  <w:endnote w:type="continuationSeparator" w:id="0">
    <w:p w:rsidR="00CE0176" w:rsidRDefault="00CE0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rinda">
    <w:altName w:val="Courier New"/>
    <w:panose1 w:val="00000400000000000000"/>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18E" w:rsidRDefault="00C053E3">
    <w:pPr>
      <w:tabs>
        <w:tab w:val="right" w:pos="9498"/>
      </w:tabs>
      <w:rPr>
        <w:sz w:val="16"/>
        <w:szCs w:val="16"/>
      </w:rPr>
    </w:pPr>
    <w:r>
      <w:rPr>
        <w:sz w:val="16"/>
        <w:szCs w:val="16"/>
      </w:rPr>
      <w:t xml:space="preserve"> </w:t>
    </w:r>
    <w:r>
      <w:rPr>
        <w:sz w:val="16"/>
        <w:szCs w:val="16"/>
      </w:rPr>
      <w:tab/>
    </w:r>
  </w:p>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18518E">
      <w:trPr>
        <w:trHeight w:val="20"/>
      </w:trPr>
      <w:tc>
        <w:tcPr>
          <w:tcW w:w="3213" w:type="dxa"/>
          <w:tcBorders>
            <w:top w:val="single" w:sz="4" w:space="0" w:color="0070C0"/>
          </w:tcBorders>
          <w:shd w:val="clear" w:color="auto" w:fill="auto"/>
        </w:tcPr>
        <w:p w:rsidR="0018518E" w:rsidRDefault="0018518E">
          <w:pPr>
            <w:widowControl w:val="0"/>
            <w:rPr>
              <w:sz w:val="14"/>
              <w:szCs w:val="14"/>
              <w:lang w:val="it-IT"/>
            </w:rPr>
          </w:pPr>
        </w:p>
      </w:tc>
      <w:tc>
        <w:tcPr>
          <w:tcW w:w="3449" w:type="dxa"/>
          <w:tcBorders>
            <w:top w:val="single" w:sz="4" w:space="0" w:color="0070C0"/>
          </w:tcBorders>
          <w:shd w:val="clear" w:color="auto" w:fill="auto"/>
        </w:tcPr>
        <w:p w:rsidR="0018518E" w:rsidRDefault="0018518E">
          <w:pPr>
            <w:widowControl w:val="0"/>
            <w:rPr>
              <w:sz w:val="14"/>
              <w:szCs w:val="14"/>
              <w:lang w:val="en-US"/>
            </w:rPr>
          </w:pPr>
        </w:p>
      </w:tc>
      <w:tc>
        <w:tcPr>
          <w:tcW w:w="2977" w:type="dxa"/>
          <w:tcBorders>
            <w:top w:val="single" w:sz="4" w:space="0" w:color="0070C0"/>
          </w:tcBorders>
          <w:shd w:val="clear" w:color="auto" w:fill="auto"/>
        </w:tcPr>
        <w:p w:rsidR="0018518E" w:rsidRDefault="0018518E">
          <w:pPr>
            <w:widowControl w:val="0"/>
            <w:tabs>
              <w:tab w:val="left" w:pos="1276"/>
            </w:tabs>
            <w:rPr>
              <w:sz w:val="14"/>
              <w:szCs w:val="14"/>
              <w:lang w:val="en-US"/>
            </w:rPr>
          </w:pPr>
        </w:p>
      </w:tc>
    </w:tr>
    <w:tr w:rsidR="0018518E" w:rsidRPr="009E571F">
      <w:tc>
        <w:tcPr>
          <w:tcW w:w="3213" w:type="dxa"/>
          <w:shd w:val="clear" w:color="auto" w:fill="auto"/>
        </w:tcPr>
        <w:p w:rsidR="0018518E" w:rsidRDefault="00C053E3">
          <w:pPr>
            <w:widowControl w:val="0"/>
            <w:rPr>
              <w:sz w:val="14"/>
              <w:szCs w:val="14"/>
              <w:lang w:val="es-ES"/>
            </w:rPr>
          </w:pPr>
          <w:r>
            <w:rPr>
              <w:sz w:val="14"/>
              <w:szCs w:val="14"/>
              <w:lang w:val="it-IT"/>
            </w:rPr>
            <w:t>EMVA -</w:t>
          </w:r>
          <w:proofErr w:type="gramStart"/>
          <w:r>
            <w:rPr>
              <w:sz w:val="14"/>
              <w:szCs w:val="14"/>
              <w:lang w:val="it-IT"/>
            </w:rPr>
            <w:t xml:space="preserve">  </w:t>
          </w:r>
          <w:proofErr w:type="gramEnd"/>
          <w:r>
            <w:rPr>
              <w:sz w:val="14"/>
              <w:szCs w:val="14"/>
              <w:lang w:val="it-IT"/>
            </w:rPr>
            <w:t xml:space="preserve">European Machine Vision </w:t>
          </w:r>
          <w:proofErr w:type="spellStart"/>
          <w:r>
            <w:rPr>
              <w:sz w:val="14"/>
              <w:szCs w:val="14"/>
              <w:lang w:val="it-IT"/>
            </w:rPr>
            <w:t>Association</w:t>
          </w:r>
          <w:proofErr w:type="spellEnd"/>
          <w:r>
            <w:rPr>
              <w:sz w:val="14"/>
              <w:szCs w:val="14"/>
              <w:lang w:val="it-IT"/>
            </w:rPr>
            <w:br/>
          </w:r>
          <w:r>
            <w:rPr>
              <w:sz w:val="14"/>
              <w:szCs w:val="14"/>
              <w:lang w:val="es-ES"/>
            </w:rPr>
            <w:t>Gran Vía de Carles III 84,</w:t>
          </w:r>
        </w:p>
        <w:p w:rsidR="0018518E" w:rsidRDefault="00C053E3">
          <w:pPr>
            <w:widowControl w:val="0"/>
            <w:rPr>
              <w:sz w:val="14"/>
              <w:szCs w:val="14"/>
              <w:lang w:val="en-US"/>
            </w:rPr>
          </w:pPr>
          <w:r>
            <w:rPr>
              <w:sz w:val="14"/>
              <w:szCs w:val="14"/>
              <w:lang w:val="en-US"/>
            </w:rPr>
            <w:t xml:space="preserve">3rd floor. </w:t>
          </w:r>
          <w:proofErr w:type="spellStart"/>
          <w:r>
            <w:rPr>
              <w:sz w:val="14"/>
              <w:szCs w:val="14"/>
              <w:lang w:val="en-US"/>
            </w:rPr>
            <w:t>Edificios</w:t>
          </w:r>
          <w:proofErr w:type="spellEnd"/>
          <w:r>
            <w:rPr>
              <w:sz w:val="14"/>
              <w:szCs w:val="14"/>
              <w:lang w:val="en-US"/>
            </w:rPr>
            <w:t xml:space="preserve"> Trade.</w:t>
          </w:r>
        </w:p>
        <w:p w:rsidR="0018518E" w:rsidRDefault="00C053E3">
          <w:pPr>
            <w:widowControl w:val="0"/>
            <w:rPr>
              <w:rFonts w:cs="Arial"/>
              <w:sz w:val="14"/>
              <w:lang w:val="en-US" w:bidi="ar-SA"/>
            </w:rPr>
          </w:pPr>
          <w:r>
            <w:rPr>
              <w:sz w:val="14"/>
              <w:szCs w:val="14"/>
              <w:lang w:val="en-US"/>
            </w:rPr>
            <w:t>08028 Barcelona</w:t>
          </w:r>
          <w:r>
            <w:rPr>
              <w:sz w:val="14"/>
              <w:szCs w:val="14"/>
              <w:lang w:val="en-US"/>
            </w:rPr>
            <w:br/>
            <w:t>Spain</w:t>
          </w:r>
        </w:p>
      </w:tc>
      <w:tc>
        <w:tcPr>
          <w:tcW w:w="3449" w:type="dxa"/>
          <w:shd w:val="clear" w:color="auto" w:fill="auto"/>
        </w:tcPr>
        <w:p w:rsidR="0018518E" w:rsidRDefault="00C053E3">
          <w:pPr>
            <w:widowControl w:val="0"/>
            <w:tabs>
              <w:tab w:val="left" w:pos="756"/>
            </w:tabs>
            <w:rPr>
              <w:rFonts w:cs="Arial"/>
              <w:sz w:val="14"/>
              <w:szCs w:val="14"/>
              <w:lang w:bidi="ar-SA"/>
            </w:rPr>
          </w:pPr>
          <w:r>
            <w:rPr>
              <w:sz w:val="14"/>
              <w:szCs w:val="14"/>
              <w:lang w:val="en-US"/>
            </w:rPr>
            <w:br/>
          </w:r>
          <w:r>
            <w:rPr>
              <w:sz w:val="14"/>
              <w:szCs w:val="14"/>
              <w:lang w:val="en-US"/>
            </w:rPr>
            <w:br/>
          </w:r>
          <w:r>
            <w:rPr>
              <w:sz w:val="14"/>
              <w:szCs w:val="14"/>
              <w:lang w:val="en-US"/>
            </w:rPr>
            <w:br/>
          </w:r>
          <w:r>
            <w:rPr>
              <w:sz w:val="14"/>
              <w:szCs w:val="14"/>
            </w:rPr>
            <w:t>VAT ID</w:t>
          </w:r>
          <w:r>
            <w:rPr>
              <w:sz w:val="14"/>
              <w:szCs w:val="14"/>
            </w:rPr>
            <w:tab/>
            <w:t>ES-G65854242</w:t>
          </w:r>
        </w:p>
      </w:tc>
      <w:tc>
        <w:tcPr>
          <w:tcW w:w="2977" w:type="dxa"/>
          <w:shd w:val="clear" w:color="auto" w:fill="auto"/>
        </w:tcPr>
        <w:p w:rsidR="0018518E" w:rsidRDefault="00C053E3">
          <w:pPr>
            <w:widowControl w:val="0"/>
            <w:tabs>
              <w:tab w:val="left" w:pos="1371"/>
            </w:tabs>
            <w:rPr>
              <w:sz w:val="14"/>
              <w:szCs w:val="14"/>
              <w:lang w:val="en-GB"/>
            </w:rPr>
          </w:pPr>
          <w:r>
            <w:rPr>
              <w:sz w:val="14"/>
              <w:szCs w:val="14"/>
              <w:lang w:val="en-US"/>
            </w:rPr>
            <w:t>President</w:t>
          </w:r>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rsidR="0018518E" w:rsidRDefault="0018518E">
    <w:pPr>
      <w:rPr>
        <w:sz w:val="16"/>
        <w:szCs w:val="16"/>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0176" w:rsidRDefault="00CE0176">
      <w:r>
        <w:separator/>
      </w:r>
    </w:p>
  </w:footnote>
  <w:footnote w:type="continuationSeparator" w:id="0">
    <w:p w:rsidR="00CE0176" w:rsidRDefault="00CE01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18E" w:rsidRDefault="00C053E3">
    <w:pPr>
      <w:pStyle w:val="Kopfzeile"/>
    </w:pPr>
    <w:r>
      <w:rPr>
        <w:noProof/>
        <w:lang w:bidi="ar-SA"/>
      </w:rPr>
      <mc:AlternateContent>
        <mc:Choice Requires="wps">
          <w:drawing>
            <wp:anchor distT="0" distB="0" distL="0" distR="0" simplePos="0" relativeHeight="5" behindDoc="1" locked="0" layoutInCell="0" allowOverlap="1" wp14:anchorId="1797AFFC">
              <wp:simplePos x="0" y="0"/>
              <wp:positionH relativeFrom="column">
                <wp:posOffset>0</wp:posOffset>
              </wp:positionH>
              <wp:positionV relativeFrom="paragraph">
                <wp:posOffset>635</wp:posOffset>
              </wp:positionV>
              <wp:extent cx="635635" cy="635635"/>
              <wp:effectExtent l="9525" t="9525" r="12700" b="12700"/>
              <wp:wrapNone/>
              <wp:docPr id="1" name="shapetype_136" hidden="1"/>
              <wp:cNvGraphicFramePr/>
              <a:graphic xmlns:a="http://schemas.openxmlformats.org/drawingml/2006/main">
                <a:graphicData uri="http://schemas.microsoft.com/office/word/2010/wordprocessingShape">
                  <wps:wsp>
                    <wps:cNvSpPr/>
                    <wps:spPr>
                      <a:xfrm>
                        <a:off x="0" y="0"/>
                        <a:ext cx="635040" cy="635040"/>
                      </a:xfrm>
                      <a:custGeom>
                        <a:avLst/>
                        <a:gdLst/>
                        <a:ahLst/>
                        <a:cxnLst/>
                        <a:rect l="l" t="t" r="r" b="b"/>
                        <a:pathLst>
                          <a:path w="21600" h="21600">
                            <a:moveTo>
                              <a:pt x="0" y="0"/>
                            </a:moveTo>
                            <a:lnTo>
                              <a:pt x="21600" y="0"/>
                            </a:lnTo>
                            <a:moveTo>
                              <a:pt x="0" y="21600"/>
                            </a:moveTo>
                            <a:lnTo>
                              <a:pt x="21600" y="21600"/>
                            </a:lnTo>
                          </a:path>
                        </a:pathLst>
                      </a:cu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p>
  <w:p w:rsidR="0018518E" w:rsidRDefault="0018518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18E" w:rsidRDefault="00C053E3">
    <w:pPr>
      <w:pStyle w:val="Kopfzeile"/>
    </w:pPr>
    <w:r>
      <w:rPr>
        <w:noProof/>
        <w:lang w:bidi="ar-SA"/>
      </w:rPr>
      <mc:AlternateContent>
        <mc:Choice Requires="wps">
          <w:drawing>
            <wp:anchor distT="0" distB="0" distL="0" distR="0" simplePos="0" relativeHeight="2" behindDoc="1" locked="0" layoutInCell="0" allowOverlap="1" wp14:anchorId="31471CE8">
              <wp:simplePos x="0" y="0"/>
              <wp:positionH relativeFrom="column">
                <wp:posOffset>0</wp:posOffset>
              </wp:positionH>
              <wp:positionV relativeFrom="paragraph">
                <wp:posOffset>635</wp:posOffset>
              </wp:positionV>
              <wp:extent cx="636270" cy="636270"/>
              <wp:effectExtent l="9525" t="9525" r="12700" b="12700"/>
              <wp:wrapNone/>
              <wp:docPr id="2" name="AutoShape 3" hidden="1"/>
              <wp:cNvGraphicFramePr/>
              <a:graphic xmlns:a="http://schemas.openxmlformats.org/drawingml/2006/main">
                <a:graphicData uri="http://schemas.microsoft.com/office/word/2010/wordprocessingShape">
                  <wps:wsp>
                    <wps:cNvSpPr/>
                    <wps:spPr>
                      <a:xfrm>
                        <a:off x="0" y="0"/>
                        <a:ext cx="635760" cy="635760"/>
                      </a:xfrm>
                      <a:custGeom>
                        <a:avLst/>
                        <a:gdLst/>
                        <a:ahLst/>
                        <a:cxnLst/>
                        <a:rect l="l" t="t" r="r" b="b"/>
                        <a:pathLst>
                          <a:path w="21600" h="21600">
                            <a:moveTo>
                              <a:pt x="0" y="0"/>
                            </a:moveTo>
                            <a:lnTo>
                              <a:pt x="21600" y="0"/>
                            </a:lnTo>
                            <a:moveTo>
                              <a:pt x="0" y="21600"/>
                            </a:moveTo>
                            <a:lnTo>
                              <a:pt x="21600" y="21600"/>
                            </a:lnTo>
                          </a:path>
                        </a:pathLst>
                      </a:cu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noProof/>
        <w:lang w:bidi="ar-SA"/>
      </w:rPr>
      <w:drawing>
        <wp:anchor distT="0" distB="0" distL="114300" distR="114300" simplePos="0" relativeHeight="3" behindDoc="0" locked="0" layoutInCell="0" allowOverlap="1">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71"/>
              <wp:lineTo x="21676" y="21271"/>
              <wp:lineTo x="21676" y="0"/>
              <wp:lineTo x="-24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926DD5"/>
    <w:multiLevelType w:val="multilevel"/>
    <w:tmpl w:val="878695C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6B7D6863"/>
    <w:multiLevelType w:val="multilevel"/>
    <w:tmpl w:val="D55E2646"/>
    <w:lvl w:ilvl="0">
      <w:start w:val="1"/>
      <w:numFmt w:val="bullet"/>
      <w:lvlText w:val=""/>
      <w:lvlJc w:val="left"/>
      <w:pPr>
        <w:tabs>
          <w:tab w:val="num" w:pos="0"/>
        </w:tabs>
        <w:ind w:left="1428" w:hanging="360"/>
      </w:pPr>
      <w:rPr>
        <w:rFonts w:ascii="Symbol" w:hAnsi="Symbol" w:cs="Symbol" w:hint="default"/>
      </w:rPr>
    </w:lvl>
    <w:lvl w:ilvl="1">
      <w:numFmt w:val="bullet"/>
      <w:lvlText w:val="•"/>
      <w:lvlJc w:val="left"/>
      <w:pPr>
        <w:tabs>
          <w:tab w:val="num" w:pos="0"/>
        </w:tabs>
        <w:ind w:left="2148" w:hanging="360"/>
      </w:pPr>
      <w:rPr>
        <w:rFonts w:ascii="Arial" w:hAnsi="Arial" w:cs="Arial"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18E"/>
    <w:rsid w:val="0002142F"/>
    <w:rsid w:val="0018518E"/>
    <w:rsid w:val="002353BB"/>
    <w:rsid w:val="009E571F"/>
    <w:rsid w:val="00C053E3"/>
    <w:rsid w:val="00CE0176"/>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51CAF"/>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UnresolvedMention">
    <w:name w:val="Unresolved Mention"/>
    <w:basedOn w:val="Absatz-Standardschriftart"/>
    <w:uiPriority w:val="99"/>
    <w:semiHidden/>
    <w:unhideWhenUsed/>
    <w:qFormat/>
    <w:rsid w:val="00551CAF"/>
    <w:rPr>
      <w:color w:val="605E5C"/>
      <w:shd w:val="clear" w:color="auto" w:fill="E1DFDD"/>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51CAF"/>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UnresolvedMention">
    <w:name w:val="Unresolved Mention"/>
    <w:basedOn w:val="Absatz-Standardschriftart"/>
    <w:uiPriority w:val="99"/>
    <w:semiHidden/>
    <w:unhideWhenUsed/>
    <w:qFormat/>
    <w:rsid w:val="00551CAF"/>
    <w:rPr>
      <w:color w:val="605E5C"/>
      <w:shd w:val="clear" w:color="auto" w:fill="E1DFDD"/>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mva.or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emva.org/standards-technology/emva-1288/emva-standard-1288-download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D86E6F-47D4-4479-B79A-82EF4177D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671</Words>
  <Characters>4228</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4890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User</cp:lastModifiedBy>
  <cp:revision>4</cp:revision>
  <cp:lastPrinted>2013-01-18T14:56:00Z</cp:lastPrinted>
  <dcterms:created xsi:type="dcterms:W3CDTF">2021-06-21T05:16:00Z</dcterms:created>
  <dcterms:modified xsi:type="dcterms:W3CDTF">2021-06-21T07:09:00Z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